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0A4D9" w14:textId="77777777" w:rsidR="00253EEF" w:rsidRDefault="00557986" w:rsidP="00557986">
      <w:pPr>
        <w:jc w:val="center"/>
      </w:pPr>
      <w:r>
        <w:rPr>
          <w:noProof/>
        </w:rPr>
        <mc:AlternateContent>
          <mc:Choice Requires="wps">
            <w:drawing>
              <wp:inline distT="0" distB="0" distL="0" distR="0" wp14:anchorId="2DBEFB91" wp14:editId="12C5B8F4">
                <wp:extent cx="304800" cy="304800"/>
                <wp:effectExtent l="0" t="0" r="0" b="0"/>
                <wp:docPr id="2" name="AutoShape 2" descr="Inlin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35850" id="AutoShape 2" o:spid="_x0000_s1026" alt="Inlin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465522DC" wp14:editId="4B2730EE">
                <wp:extent cx="304800" cy="304800"/>
                <wp:effectExtent l="0" t="0" r="0" b="0"/>
                <wp:docPr id="3" name="AutoShape 3" descr="Inlin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7C404D" id="AutoShape 3" o:spid="_x0000_s1026" alt="Inlin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398D0097" wp14:editId="715C6A6F">
            <wp:extent cx="2834640" cy="3483331"/>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2834640" cy="3483331"/>
                    </a:xfrm>
                    <a:prstGeom prst="rect">
                      <a:avLst/>
                    </a:prstGeom>
                  </pic:spPr>
                </pic:pic>
              </a:graphicData>
            </a:graphic>
          </wp:inline>
        </w:drawing>
      </w:r>
    </w:p>
    <w:p w14:paraId="54F0E3AF" w14:textId="77777777" w:rsidR="00557986" w:rsidRDefault="00557986" w:rsidP="00557986">
      <w:pPr>
        <w:jc w:val="center"/>
      </w:pPr>
    </w:p>
    <w:p w14:paraId="385B9C06" w14:textId="77777777" w:rsidR="00557986" w:rsidRDefault="00557986" w:rsidP="00557986">
      <w:pPr>
        <w:pStyle w:val="ydpd75810cbyiv4486018699ydp118556acmsonormal"/>
        <w:spacing w:after="0" w:afterAutospacing="0"/>
        <w:rPr>
          <w:rFonts w:ascii="Arial" w:hAnsi="Arial" w:cs="Arial"/>
          <w:b/>
          <w:bCs/>
          <w:color w:val="000000"/>
        </w:rPr>
      </w:pPr>
    </w:p>
    <w:p w14:paraId="2D7D57CA" w14:textId="77777777" w:rsidR="00557986" w:rsidRDefault="00557986" w:rsidP="00557986">
      <w:pPr>
        <w:pStyle w:val="ydpd75810cbyiv4486018699ydp118556acmsonormal"/>
        <w:spacing w:after="0" w:afterAutospacing="0"/>
        <w:rPr>
          <w:rFonts w:ascii="Arial" w:hAnsi="Arial" w:cs="Arial"/>
          <w:color w:val="26282A"/>
        </w:rPr>
      </w:pPr>
      <w:r>
        <w:rPr>
          <w:rFonts w:ascii="Arial" w:hAnsi="Arial" w:cs="Arial"/>
          <w:b/>
          <w:bCs/>
          <w:color w:val="000000"/>
        </w:rPr>
        <w:t>Raymond L. Bertolotti</w:t>
      </w:r>
      <w:r>
        <w:rPr>
          <w:rFonts w:ascii="Arial" w:hAnsi="Arial" w:cs="Arial"/>
          <w:color w:val="000000"/>
        </w:rPr>
        <w:t xml:space="preserve"> received his D.D.S. degree from the University of California, San Francisco, after working as a Ph.D. metallurgical and ceramic engineer at Sandia National Laboratories. Dr. Bertolotti is perhaps best known for introducing “total etch” to North America in 1984.  He also </w:t>
      </w:r>
      <w:proofErr w:type="gramStart"/>
      <w:r>
        <w:rPr>
          <w:rFonts w:ascii="Arial" w:hAnsi="Arial" w:cs="Arial"/>
          <w:color w:val="000000"/>
        </w:rPr>
        <w:t>introduced  Panavia</w:t>
      </w:r>
      <w:proofErr w:type="gramEnd"/>
      <w:r>
        <w:rPr>
          <w:rFonts w:ascii="Arial" w:hAnsi="Arial" w:cs="Arial"/>
          <w:color w:val="000000"/>
        </w:rPr>
        <w:t xml:space="preserve"> in 1985, tin plating in 1989,  self-etching primers in 1992, </w:t>
      </w:r>
      <w:proofErr w:type="spellStart"/>
      <w:r>
        <w:rPr>
          <w:rFonts w:ascii="Arial" w:hAnsi="Arial" w:cs="Arial"/>
          <w:color w:val="000000"/>
        </w:rPr>
        <w:t>HealOzone</w:t>
      </w:r>
      <w:proofErr w:type="spellEnd"/>
      <w:r>
        <w:rPr>
          <w:rFonts w:ascii="Arial" w:hAnsi="Arial" w:cs="Arial"/>
          <w:color w:val="000000"/>
        </w:rPr>
        <w:t xml:space="preserve"> in 2004 and zirconia adhesion bridges in 2017. As a founder of Danville Materials and former Director of Research, the sectional Contact Matrix system, "</w:t>
      </w:r>
      <w:proofErr w:type="spellStart"/>
      <w:r>
        <w:rPr>
          <w:rFonts w:ascii="Arial" w:hAnsi="Arial" w:cs="Arial"/>
          <w:color w:val="000000"/>
        </w:rPr>
        <w:t>MicroPrime</w:t>
      </w:r>
      <w:proofErr w:type="spellEnd"/>
      <w:r>
        <w:rPr>
          <w:rFonts w:ascii="Arial" w:hAnsi="Arial" w:cs="Arial"/>
          <w:color w:val="000000"/>
        </w:rPr>
        <w:t>", "</w:t>
      </w:r>
      <w:proofErr w:type="spellStart"/>
      <w:r>
        <w:rPr>
          <w:rFonts w:ascii="Arial" w:hAnsi="Arial" w:cs="Arial"/>
          <w:color w:val="000000"/>
        </w:rPr>
        <w:t>MicroEtcher</w:t>
      </w:r>
      <w:proofErr w:type="spellEnd"/>
      <w:r>
        <w:rPr>
          <w:rFonts w:ascii="Arial" w:hAnsi="Arial" w:cs="Arial"/>
          <w:color w:val="000000"/>
        </w:rPr>
        <w:t>" sandblasting and intraoral tin-plating are also his developments.  </w:t>
      </w:r>
      <w:r>
        <w:rPr>
          <w:rFonts w:ascii="Arial" w:hAnsi="Arial" w:cs="Arial"/>
          <w:color w:val="26282A"/>
        </w:rPr>
        <w:t>In addition to authoring four dental textbook chapters and co-authoring a recent textbook, Dr. Bertolotti has published extensively in journals such as the American Dental Association, International Journal of Prosthodontics, Dental Clinics of North America, Journal of Dental Research and Quintessence International. </w:t>
      </w:r>
      <w:r>
        <w:rPr>
          <w:rFonts w:ascii="Arial" w:hAnsi="Arial" w:cs="Arial"/>
          <w:color w:val="000000"/>
        </w:rPr>
        <w:t>In 2013, he received the </w:t>
      </w:r>
      <w:r>
        <w:rPr>
          <w:rFonts w:ascii="Arial" w:hAnsi="Arial" w:cs="Arial"/>
          <w:color w:val="26282A"/>
        </w:rPr>
        <w:t>Lifetime Achievement Award from Academy of Biomimetic Dentistry. Dr. Bertolotti is also a </w:t>
      </w:r>
      <w:r>
        <w:rPr>
          <w:rFonts w:ascii="Arial" w:hAnsi="Arial" w:cs="Arial"/>
          <w:color w:val="000000"/>
        </w:rPr>
        <w:t>Fellow of the A</w:t>
      </w:r>
      <w:r>
        <w:rPr>
          <w:rFonts w:ascii="Arial" w:hAnsi="Arial" w:cs="Arial"/>
          <w:color w:val="26282A"/>
        </w:rPr>
        <w:t xml:space="preserve">cademy of Dental Materials, a Fellow of the International College of Dentists, Fellow of the </w:t>
      </w:r>
      <w:proofErr w:type="gramStart"/>
      <w:r>
        <w:rPr>
          <w:rFonts w:ascii="Arial" w:hAnsi="Arial" w:cs="Arial"/>
          <w:color w:val="26282A"/>
        </w:rPr>
        <w:t>Pierre  Fouchard</w:t>
      </w:r>
      <w:proofErr w:type="gramEnd"/>
      <w:r>
        <w:rPr>
          <w:rFonts w:ascii="Arial" w:hAnsi="Arial" w:cs="Arial"/>
          <w:color w:val="26282A"/>
        </w:rPr>
        <w:t xml:space="preserve"> Academy, and is Accredited by the American Academy of Cosmetic Dentistry.  He has served on the Reality Editorial team. He is a </w:t>
      </w:r>
      <w:proofErr w:type="spellStart"/>
      <w:r>
        <w:rPr>
          <w:rFonts w:ascii="Arial" w:hAnsi="Arial" w:cs="Arial"/>
          <w:color w:val="26282A"/>
        </w:rPr>
        <w:t>well known</w:t>
      </w:r>
      <w:proofErr w:type="spellEnd"/>
      <w:r>
        <w:rPr>
          <w:rFonts w:ascii="Arial" w:hAnsi="Arial" w:cs="Arial"/>
          <w:color w:val="26282A"/>
        </w:rPr>
        <w:t xml:space="preserve"> international lecturer, having presented at all of the major dental meetings such as the ADA, Hinman, Chicago Midwinter, British Dental Meeting and invited lectures in over 30 countries.</w:t>
      </w:r>
    </w:p>
    <w:p w14:paraId="3C9DB068" w14:textId="77777777" w:rsidR="00557986" w:rsidRDefault="00557986" w:rsidP="00557986">
      <w:pPr>
        <w:jc w:val="center"/>
      </w:pPr>
    </w:p>
    <w:p w14:paraId="08855F53" w14:textId="77777777" w:rsidR="00AA1034" w:rsidRDefault="00AA1034" w:rsidP="00557986">
      <w:pPr>
        <w:jc w:val="center"/>
      </w:pPr>
    </w:p>
    <w:p w14:paraId="7FA6A8F3" w14:textId="77777777" w:rsidR="00AA1034" w:rsidRDefault="00AA1034" w:rsidP="00557986">
      <w:pPr>
        <w:jc w:val="center"/>
      </w:pPr>
    </w:p>
    <w:p w14:paraId="37AC5C27" w14:textId="77777777" w:rsidR="00AA1034" w:rsidRDefault="00AA1034" w:rsidP="00557986">
      <w:pPr>
        <w:jc w:val="center"/>
      </w:pPr>
    </w:p>
    <w:p w14:paraId="6A5810F8" w14:textId="77777777" w:rsidR="00AA1034" w:rsidRDefault="00AA1034" w:rsidP="00557986">
      <w:pPr>
        <w:jc w:val="center"/>
      </w:pPr>
    </w:p>
    <w:p w14:paraId="4F8FDAE7" w14:textId="77777777" w:rsidR="00AA1034" w:rsidRPr="00AA1034" w:rsidRDefault="00AA1034" w:rsidP="00AA1034">
      <w:pPr>
        <w:pStyle w:val="ydpd75810cbyiv4486018699ydp118556acmsonormal"/>
        <w:jc w:val="center"/>
        <w:rPr>
          <w:b/>
          <w:bCs/>
          <w:color w:val="8D2424"/>
          <w:sz w:val="32"/>
          <w:szCs w:val="32"/>
        </w:rPr>
      </w:pPr>
      <w:r>
        <w:rPr>
          <w:b/>
          <w:bCs/>
          <w:color w:val="8D2424"/>
          <w:sz w:val="32"/>
          <w:szCs w:val="32"/>
        </w:rPr>
        <w:t>"New Concepts for Better Clinical Dentistry                                which is actually fun to provide”</w:t>
      </w:r>
    </w:p>
    <w:p w14:paraId="5CCD9D78" w14:textId="77777777" w:rsidR="00AA1034" w:rsidRDefault="00AA1034" w:rsidP="00AA1034">
      <w:pPr>
        <w:pStyle w:val="ydpd75810cbyiv4486018699ydp118556acmsonormal"/>
        <w:rPr>
          <w:b/>
          <w:bCs/>
          <w:color w:val="26282A"/>
          <w:sz w:val="36"/>
          <w:szCs w:val="36"/>
        </w:rPr>
      </w:pPr>
      <w:r>
        <w:rPr>
          <w:b/>
          <w:bCs/>
          <w:color w:val="8D2424"/>
          <w:sz w:val="32"/>
          <w:szCs w:val="32"/>
        </w:rPr>
        <w:t>                   Presented by Raymond Bertolotti, DDS, PhD</w:t>
      </w:r>
      <w:r>
        <w:rPr>
          <w:b/>
          <w:bCs/>
          <w:color w:val="26282A"/>
          <w:sz w:val="32"/>
          <w:szCs w:val="32"/>
        </w:rPr>
        <w:br/>
      </w:r>
      <w:r>
        <w:rPr>
          <w:b/>
          <w:bCs/>
          <w:color w:val="26282A"/>
          <w:sz w:val="36"/>
          <w:szCs w:val="36"/>
        </w:rPr>
        <w:br/>
      </w:r>
    </w:p>
    <w:p w14:paraId="571EDE5B" w14:textId="77777777" w:rsidR="00AA1034" w:rsidRDefault="00AA1034" w:rsidP="00AA1034">
      <w:pPr>
        <w:pStyle w:val="ydpd75810cbyiv4486018699ydp118556acmsonormal"/>
        <w:rPr>
          <w:b/>
          <w:bCs/>
          <w:color w:val="26282A"/>
        </w:rPr>
      </w:pPr>
      <w:r>
        <w:rPr>
          <w:b/>
          <w:bCs/>
          <w:color w:val="26282A"/>
          <w:sz w:val="36"/>
          <w:szCs w:val="36"/>
        </w:rPr>
        <w:br/>
      </w:r>
      <w:r>
        <w:rPr>
          <w:b/>
          <w:bCs/>
          <w:color w:val="8D2424"/>
          <w:sz w:val="27"/>
          <w:szCs w:val="27"/>
        </w:rPr>
        <w:t>Dr. Bertolotti will cover the following topics and a few more:</w:t>
      </w:r>
      <w:r>
        <w:rPr>
          <w:b/>
          <w:bCs/>
          <w:color w:val="26282A"/>
        </w:rPr>
        <w:br/>
        <w:t> </w:t>
      </w:r>
    </w:p>
    <w:p w14:paraId="56453A20" w14:textId="77777777" w:rsidR="00AA1034" w:rsidRDefault="00AA1034" w:rsidP="00AA1034">
      <w:pPr>
        <w:pStyle w:val="ydpd75810cbyiv4486018699ydp118556acmsonormal"/>
        <w:rPr>
          <w:rFonts w:ascii="Arial" w:hAnsi="Arial" w:cs="Arial"/>
          <w:color w:val="26282A"/>
        </w:rPr>
      </w:pPr>
      <w:r>
        <w:rPr>
          <w:b/>
          <w:bCs/>
          <w:color w:val="26282A"/>
        </w:rPr>
        <w:br/>
      </w:r>
      <w:proofErr w:type="spellStart"/>
      <w:r>
        <w:rPr>
          <w:b/>
          <w:bCs/>
          <w:color w:val="26282A"/>
        </w:rPr>
        <w:t>Bulkfill</w:t>
      </w:r>
      <w:proofErr w:type="spellEnd"/>
      <w:r>
        <w:rPr>
          <w:b/>
          <w:bCs/>
          <w:color w:val="26282A"/>
        </w:rPr>
        <w:t xml:space="preserve"> composite – polymerization shrinkage is the enemy </w:t>
      </w:r>
      <w:r>
        <w:rPr>
          <w:b/>
          <w:bCs/>
          <w:color w:val="26282A"/>
        </w:rPr>
        <w:br/>
        <w:t>     ·       Understand the clinical consequences of polymerization shrinkage</w:t>
      </w:r>
      <w:r>
        <w:rPr>
          <w:b/>
          <w:bCs/>
          <w:color w:val="26282A"/>
        </w:rPr>
        <w:br/>
        <w:t>     ·       Easily create margins free of white lines (enamel fracture) and later staining</w:t>
      </w:r>
      <w:r>
        <w:rPr>
          <w:b/>
          <w:bCs/>
          <w:color w:val="26282A"/>
        </w:rPr>
        <w:br/>
        <w:t>     ·       Observe polymerization shrinkage in real time with revolutionary OCT</w:t>
      </w:r>
      <w:r>
        <w:rPr>
          <w:b/>
          <w:bCs/>
          <w:color w:val="26282A"/>
        </w:rPr>
        <w:br/>
        <w:t>     ·       Why “</w:t>
      </w:r>
      <w:r>
        <w:rPr>
          <w:b/>
          <w:bCs/>
          <w:i/>
          <w:iCs/>
          <w:color w:val="26282A"/>
        </w:rPr>
        <w:t>low shrinkage</w:t>
      </w:r>
      <w:r>
        <w:rPr>
          <w:b/>
          <w:bCs/>
          <w:color w:val="26282A"/>
        </w:rPr>
        <w:t> </w:t>
      </w:r>
      <w:r>
        <w:rPr>
          <w:b/>
          <w:bCs/>
          <w:i/>
          <w:iCs/>
          <w:color w:val="26282A"/>
        </w:rPr>
        <w:t>composites</w:t>
      </w:r>
      <w:r>
        <w:rPr>
          <w:b/>
          <w:bCs/>
          <w:color w:val="26282A"/>
        </w:rPr>
        <w:t>” do not help and likely are worse</w:t>
      </w:r>
      <w:r>
        <w:rPr>
          <w:b/>
          <w:bCs/>
          <w:color w:val="26282A"/>
        </w:rPr>
        <w:br/>
        <w:t>     ·       Stop creating open gingival margins and the associated “recurrent caries”</w:t>
      </w:r>
      <w:r>
        <w:rPr>
          <w:b/>
          <w:bCs/>
          <w:color w:val="26282A"/>
        </w:rPr>
        <w:br/>
        <w:t> </w:t>
      </w:r>
      <w:r>
        <w:rPr>
          <w:b/>
          <w:bCs/>
          <w:color w:val="26282A"/>
        </w:rPr>
        <w:br/>
        <w:t>Zirconia – choose the materials and applications carefully</w:t>
      </w:r>
      <w:r>
        <w:rPr>
          <w:b/>
          <w:bCs/>
          <w:color w:val="26282A"/>
        </w:rPr>
        <w:br/>
        <w:t>     ·       Why only Y3 zirconia (3 mol percent yttria) does not fracture</w:t>
      </w:r>
      <w:r>
        <w:rPr>
          <w:b/>
          <w:bCs/>
          <w:color w:val="26282A"/>
        </w:rPr>
        <w:br/>
        <w:t>     ·       The porcelain brand which works best on zirconia frames and why so</w:t>
      </w:r>
      <w:r>
        <w:rPr>
          <w:b/>
          <w:bCs/>
          <w:color w:val="26282A"/>
        </w:rPr>
        <w:br/>
        <w:t>     ·       Revolutionary zirconia adhesion bridges (almost no prep)</w:t>
      </w:r>
      <w:r>
        <w:rPr>
          <w:b/>
          <w:bCs/>
          <w:color w:val="26282A"/>
        </w:rPr>
        <w:br/>
        <w:t>     ·       The best alternative to most anterior implants</w:t>
      </w:r>
      <w:r>
        <w:rPr>
          <w:b/>
          <w:bCs/>
          <w:color w:val="26282A"/>
        </w:rPr>
        <w:br/>
        <w:t xml:space="preserve">     ·       Why </w:t>
      </w:r>
      <w:proofErr w:type="spellStart"/>
      <w:r>
        <w:rPr>
          <w:b/>
          <w:bCs/>
          <w:color w:val="26282A"/>
        </w:rPr>
        <w:t>E.max</w:t>
      </w:r>
      <w:proofErr w:type="spellEnd"/>
      <w:r>
        <w:rPr>
          <w:b/>
          <w:bCs/>
          <w:color w:val="26282A"/>
        </w:rPr>
        <w:t xml:space="preserve"> is usually superior to posterior zirconia</w:t>
      </w:r>
      <w:r>
        <w:rPr>
          <w:b/>
          <w:bCs/>
          <w:color w:val="26282A"/>
        </w:rPr>
        <w:br/>
        <w:t> </w:t>
      </w:r>
      <w:r>
        <w:rPr>
          <w:b/>
          <w:bCs/>
          <w:color w:val="26282A"/>
        </w:rPr>
        <w:br/>
        <w:t>Adhesion – utilized to the maximum on all dental surfaces</w:t>
      </w:r>
      <w:r>
        <w:rPr>
          <w:b/>
          <w:bCs/>
          <w:color w:val="26282A"/>
        </w:rPr>
        <w:br/>
        <w:t>     ·       Intraorally bond gold to gold (no, it’s not welding!)</w:t>
      </w:r>
      <w:r>
        <w:rPr>
          <w:b/>
          <w:bCs/>
          <w:color w:val="26282A"/>
        </w:rPr>
        <w:br/>
        <w:t>     ·       Stay supragingival and get outstanding esthetics with ceramic</w:t>
      </w:r>
      <w:r>
        <w:rPr>
          <w:b/>
          <w:bCs/>
          <w:color w:val="26282A"/>
        </w:rPr>
        <w:br/>
        <w:t>     ·       Best possible bond strengths to dental surfaces compared to enamel.</w:t>
      </w:r>
      <w:r>
        <w:rPr>
          <w:b/>
          <w:bCs/>
          <w:color w:val="26282A"/>
        </w:rPr>
        <w:br/>
        <w:t>     ·       Bond porcelain well without HF etching (20 plus year recalls prove it) </w:t>
      </w:r>
      <w:r>
        <w:rPr>
          <w:b/>
          <w:bCs/>
          <w:color w:val="26282A"/>
        </w:rPr>
        <w:br/>
        <w:t xml:space="preserve">     ·       Why you should retire if you don’t have a </w:t>
      </w:r>
      <w:proofErr w:type="spellStart"/>
      <w:r>
        <w:rPr>
          <w:b/>
          <w:bCs/>
          <w:color w:val="26282A"/>
        </w:rPr>
        <w:t>Microetcher</w:t>
      </w:r>
      <w:proofErr w:type="spellEnd"/>
      <w:r>
        <w:rPr>
          <w:b/>
          <w:bCs/>
          <w:color w:val="26282A"/>
        </w:rPr>
        <w:br/>
        <w:t> </w:t>
      </w:r>
      <w:r>
        <w:rPr>
          <w:b/>
          <w:bCs/>
          <w:color w:val="26282A"/>
        </w:rPr>
        <w:br/>
        <w:t>Some Fun Dentistry – low stress and highly profitable too</w:t>
      </w:r>
      <w:r>
        <w:rPr>
          <w:b/>
          <w:bCs/>
          <w:color w:val="26282A"/>
        </w:rPr>
        <w:br/>
        <w:t>     ·       Reattach fractured off incisor fragments (even with bleeding pulps)</w:t>
      </w:r>
      <w:r>
        <w:rPr>
          <w:b/>
          <w:bCs/>
          <w:color w:val="26282A"/>
        </w:rPr>
        <w:br/>
        <w:t>     ·       Why veneers, not crowns, are often the preferred anterior restoration</w:t>
      </w:r>
      <w:r>
        <w:rPr>
          <w:b/>
          <w:bCs/>
          <w:color w:val="26282A"/>
        </w:rPr>
        <w:br/>
        <w:t>     ·       Try-in veneers for esthetics without “Try-in pastes” which require removal</w:t>
      </w:r>
      <w:r>
        <w:rPr>
          <w:b/>
          <w:bCs/>
          <w:color w:val="26282A"/>
        </w:rPr>
        <w:br/>
        <w:t>     ·       Easily make implant access holes disappear</w:t>
      </w:r>
      <w:r>
        <w:rPr>
          <w:b/>
          <w:bCs/>
          <w:color w:val="26282A"/>
        </w:rPr>
        <w:br/>
        <w:t>     ·       Anterior “white spots” easily removed</w:t>
      </w:r>
    </w:p>
    <w:p w14:paraId="38D3BB23" w14:textId="77777777" w:rsidR="00AA1034" w:rsidRDefault="00AA1034" w:rsidP="00AA1034"/>
    <w:sectPr w:rsidR="00AA10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986"/>
    <w:rsid w:val="00253EEF"/>
    <w:rsid w:val="002A161B"/>
    <w:rsid w:val="00557986"/>
    <w:rsid w:val="007B0DB7"/>
    <w:rsid w:val="00AA1034"/>
    <w:rsid w:val="00DE1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48A6F"/>
  <w15:docId w15:val="{D1D5AEEB-EF6A-4E3A-BB64-69512E4D8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DB7"/>
    <w:rPr>
      <w:sz w:val="24"/>
      <w:szCs w:val="24"/>
    </w:rPr>
  </w:style>
  <w:style w:type="paragraph" w:styleId="Heading1">
    <w:name w:val="heading 1"/>
    <w:basedOn w:val="Normal"/>
    <w:next w:val="Normal"/>
    <w:link w:val="Heading1Char"/>
    <w:uiPriority w:val="9"/>
    <w:qFormat/>
    <w:rsid w:val="007B0DB7"/>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B0DB7"/>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7B0DB7"/>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B0DB7"/>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7B0DB7"/>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7B0DB7"/>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7B0DB7"/>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7B0DB7"/>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7B0DB7"/>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B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B0DB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B0DB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B0DB7"/>
    <w:rPr>
      <w:rFonts w:cstheme="majorBidi"/>
      <w:b/>
      <w:bCs/>
      <w:sz w:val="28"/>
      <w:szCs w:val="28"/>
    </w:rPr>
  </w:style>
  <w:style w:type="character" w:customStyle="1" w:styleId="Heading5Char">
    <w:name w:val="Heading 5 Char"/>
    <w:basedOn w:val="DefaultParagraphFont"/>
    <w:link w:val="Heading5"/>
    <w:uiPriority w:val="9"/>
    <w:semiHidden/>
    <w:rsid w:val="007B0DB7"/>
    <w:rPr>
      <w:rFonts w:cstheme="majorBidi"/>
      <w:b/>
      <w:bCs/>
      <w:i/>
      <w:iCs/>
      <w:sz w:val="26"/>
      <w:szCs w:val="26"/>
    </w:rPr>
  </w:style>
  <w:style w:type="character" w:customStyle="1" w:styleId="Heading6Char">
    <w:name w:val="Heading 6 Char"/>
    <w:basedOn w:val="DefaultParagraphFont"/>
    <w:link w:val="Heading6"/>
    <w:uiPriority w:val="9"/>
    <w:semiHidden/>
    <w:rsid w:val="007B0DB7"/>
    <w:rPr>
      <w:rFonts w:cstheme="majorBidi"/>
      <w:b/>
      <w:bCs/>
    </w:rPr>
  </w:style>
  <w:style w:type="character" w:customStyle="1" w:styleId="Heading7Char">
    <w:name w:val="Heading 7 Char"/>
    <w:basedOn w:val="DefaultParagraphFont"/>
    <w:link w:val="Heading7"/>
    <w:uiPriority w:val="9"/>
    <w:semiHidden/>
    <w:rsid w:val="007B0DB7"/>
    <w:rPr>
      <w:rFonts w:cstheme="majorBidi"/>
      <w:sz w:val="24"/>
      <w:szCs w:val="24"/>
    </w:rPr>
  </w:style>
  <w:style w:type="character" w:customStyle="1" w:styleId="Heading8Char">
    <w:name w:val="Heading 8 Char"/>
    <w:basedOn w:val="DefaultParagraphFont"/>
    <w:link w:val="Heading8"/>
    <w:uiPriority w:val="9"/>
    <w:semiHidden/>
    <w:rsid w:val="007B0DB7"/>
    <w:rPr>
      <w:rFonts w:cstheme="majorBidi"/>
      <w:i/>
      <w:iCs/>
      <w:sz w:val="24"/>
      <w:szCs w:val="24"/>
    </w:rPr>
  </w:style>
  <w:style w:type="character" w:customStyle="1" w:styleId="Heading9Char">
    <w:name w:val="Heading 9 Char"/>
    <w:basedOn w:val="DefaultParagraphFont"/>
    <w:link w:val="Heading9"/>
    <w:uiPriority w:val="9"/>
    <w:semiHidden/>
    <w:rsid w:val="007B0DB7"/>
    <w:rPr>
      <w:rFonts w:asciiTheme="majorHAnsi" w:eastAsiaTheme="majorEastAsia" w:hAnsiTheme="majorHAnsi" w:cstheme="majorBidi"/>
    </w:rPr>
  </w:style>
  <w:style w:type="paragraph" w:styleId="Title">
    <w:name w:val="Title"/>
    <w:basedOn w:val="Normal"/>
    <w:next w:val="Normal"/>
    <w:link w:val="TitleChar"/>
    <w:uiPriority w:val="10"/>
    <w:qFormat/>
    <w:rsid w:val="007B0DB7"/>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B0DB7"/>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B0DB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B0DB7"/>
    <w:rPr>
      <w:rFonts w:asciiTheme="majorHAnsi" w:eastAsiaTheme="majorEastAsia" w:hAnsiTheme="majorHAnsi"/>
      <w:sz w:val="24"/>
      <w:szCs w:val="24"/>
    </w:rPr>
  </w:style>
  <w:style w:type="character" w:styleId="Strong">
    <w:name w:val="Strong"/>
    <w:basedOn w:val="DefaultParagraphFont"/>
    <w:uiPriority w:val="22"/>
    <w:qFormat/>
    <w:rsid w:val="007B0DB7"/>
    <w:rPr>
      <w:b/>
      <w:bCs/>
    </w:rPr>
  </w:style>
  <w:style w:type="character" w:styleId="Emphasis">
    <w:name w:val="Emphasis"/>
    <w:basedOn w:val="DefaultParagraphFont"/>
    <w:uiPriority w:val="20"/>
    <w:qFormat/>
    <w:rsid w:val="007B0DB7"/>
    <w:rPr>
      <w:rFonts w:asciiTheme="minorHAnsi" w:hAnsiTheme="minorHAnsi"/>
      <w:b/>
      <w:i/>
      <w:iCs/>
    </w:rPr>
  </w:style>
  <w:style w:type="paragraph" w:styleId="NoSpacing">
    <w:name w:val="No Spacing"/>
    <w:basedOn w:val="Normal"/>
    <w:link w:val="NoSpacingChar"/>
    <w:uiPriority w:val="1"/>
    <w:qFormat/>
    <w:rsid w:val="007B0DB7"/>
    <w:rPr>
      <w:szCs w:val="32"/>
    </w:rPr>
  </w:style>
  <w:style w:type="character" w:customStyle="1" w:styleId="NoSpacingChar">
    <w:name w:val="No Spacing Char"/>
    <w:basedOn w:val="DefaultParagraphFont"/>
    <w:link w:val="NoSpacing"/>
    <w:uiPriority w:val="1"/>
    <w:rsid w:val="00DE17A3"/>
    <w:rPr>
      <w:sz w:val="24"/>
      <w:szCs w:val="32"/>
    </w:rPr>
  </w:style>
  <w:style w:type="paragraph" w:styleId="ListParagraph">
    <w:name w:val="List Paragraph"/>
    <w:basedOn w:val="Normal"/>
    <w:uiPriority w:val="34"/>
    <w:qFormat/>
    <w:rsid w:val="007B0DB7"/>
    <w:pPr>
      <w:ind w:left="720"/>
      <w:contextualSpacing/>
    </w:pPr>
  </w:style>
  <w:style w:type="paragraph" w:styleId="Quote">
    <w:name w:val="Quote"/>
    <w:basedOn w:val="Normal"/>
    <w:next w:val="Normal"/>
    <w:link w:val="QuoteChar"/>
    <w:uiPriority w:val="29"/>
    <w:qFormat/>
    <w:rsid w:val="007B0DB7"/>
    <w:rPr>
      <w:rFonts w:cstheme="majorBidi"/>
      <w:i/>
    </w:rPr>
  </w:style>
  <w:style w:type="character" w:customStyle="1" w:styleId="QuoteChar">
    <w:name w:val="Quote Char"/>
    <w:basedOn w:val="DefaultParagraphFont"/>
    <w:link w:val="Quote"/>
    <w:uiPriority w:val="29"/>
    <w:rsid w:val="007B0DB7"/>
    <w:rPr>
      <w:rFonts w:cstheme="majorBidi"/>
      <w:i/>
      <w:sz w:val="24"/>
      <w:szCs w:val="24"/>
    </w:rPr>
  </w:style>
  <w:style w:type="paragraph" w:styleId="IntenseQuote">
    <w:name w:val="Intense Quote"/>
    <w:basedOn w:val="Normal"/>
    <w:next w:val="Normal"/>
    <w:link w:val="IntenseQuoteChar"/>
    <w:uiPriority w:val="30"/>
    <w:qFormat/>
    <w:rsid w:val="007B0DB7"/>
    <w:pPr>
      <w:ind w:left="720" w:right="720"/>
    </w:pPr>
    <w:rPr>
      <w:rFonts w:cstheme="majorBidi"/>
      <w:b/>
      <w:i/>
      <w:szCs w:val="22"/>
    </w:rPr>
  </w:style>
  <w:style w:type="character" w:customStyle="1" w:styleId="IntenseQuoteChar">
    <w:name w:val="Intense Quote Char"/>
    <w:basedOn w:val="DefaultParagraphFont"/>
    <w:link w:val="IntenseQuote"/>
    <w:uiPriority w:val="30"/>
    <w:rsid w:val="007B0DB7"/>
    <w:rPr>
      <w:rFonts w:cstheme="majorBidi"/>
      <w:b/>
      <w:i/>
      <w:sz w:val="24"/>
    </w:rPr>
  </w:style>
  <w:style w:type="character" w:styleId="SubtleEmphasis">
    <w:name w:val="Subtle Emphasis"/>
    <w:uiPriority w:val="19"/>
    <w:qFormat/>
    <w:rsid w:val="007B0DB7"/>
    <w:rPr>
      <w:i/>
      <w:color w:val="5A5A5A" w:themeColor="text1" w:themeTint="A5"/>
    </w:rPr>
  </w:style>
  <w:style w:type="character" w:styleId="IntenseEmphasis">
    <w:name w:val="Intense Emphasis"/>
    <w:basedOn w:val="DefaultParagraphFont"/>
    <w:uiPriority w:val="21"/>
    <w:qFormat/>
    <w:rsid w:val="007B0DB7"/>
    <w:rPr>
      <w:b/>
      <w:i/>
      <w:sz w:val="24"/>
      <w:szCs w:val="24"/>
      <w:u w:val="single"/>
    </w:rPr>
  </w:style>
  <w:style w:type="character" w:styleId="SubtleReference">
    <w:name w:val="Subtle Reference"/>
    <w:basedOn w:val="DefaultParagraphFont"/>
    <w:uiPriority w:val="31"/>
    <w:qFormat/>
    <w:rsid w:val="007B0DB7"/>
    <w:rPr>
      <w:sz w:val="24"/>
      <w:szCs w:val="24"/>
      <w:u w:val="single"/>
    </w:rPr>
  </w:style>
  <w:style w:type="character" w:styleId="IntenseReference">
    <w:name w:val="Intense Reference"/>
    <w:basedOn w:val="DefaultParagraphFont"/>
    <w:uiPriority w:val="32"/>
    <w:qFormat/>
    <w:rsid w:val="007B0DB7"/>
    <w:rPr>
      <w:b/>
      <w:sz w:val="24"/>
      <w:u w:val="single"/>
    </w:rPr>
  </w:style>
  <w:style w:type="character" w:styleId="BookTitle">
    <w:name w:val="Book Title"/>
    <w:basedOn w:val="DefaultParagraphFont"/>
    <w:uiPriority w:val="33"/>
    <w:qFormat/>
    <w:rsid w:val="007B0DB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B0DB7"/>
    <w:pPr>
      <w:outlineLvl w:val="9"/>
    </w:pPr>
  </w:style>
  <w:style w:type="paragraph" w:styleId="BalloonText">
    <w:name w:val="Balloon Text"/>
    <w:basedOn w:val="Normal"/>
    <w:link w:val="BalloonTextChar"/>
    <w:uiPriority w:val="99"/>
    <w:semiHidden/>
    <w:unhideWhenUsed/>
    <w:rsid w:val="00557986"/>
    <w:rPr>
      <w:rFonts w:ascii="Tahoma" w:hAnsi="Tahoma" w:cs="Tahoma"/>
      <w:sz w:val="16"/>
      <w:szCs w:val="16"/>
    </w:rPr>
  </w:style>
  <w:style w:type="character" w:customStyle="1" w:styleId="BalloonTextChar">
    <w:name w:val="Balloon Text Char"/>
    <w:basedOn w:val="DefaultParagraphFont"/>
    <w:link w:val="BalloonText"/>
    <w:uiPriority w:val="99"/>
    <w:semiHidden/>
    <w:rsid w:val="00557986"/>
    <w:rPr>
      <w:rFonts w:ascii="Tahoma" w:hAnsi="Tahoma" w:cs="Tahoma"/>
      <w:sz w:val="16"/>
      <w:szCs w:val="16"/>
    </w:rPr>
  </w:style>
  <w:style w:type="paragraph" w:customStyle="1" w:styleId="ydpd75810cbyiv4486018699ydp118556acmsonormal">
    <w:name w:val="ydpd75810cbyiv4486018699ydp118556acmsonormal"/>
    <w:basedOn w:val="Normal"/>
    <w:rsid w:val="00557986"/>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878653">
      <w:bodyDiv w:val="1"/>
      <w:marLeft w:val="0"/>
      <w:marRight w:val="0"/>
      <w:marTop w:val="0"/>
      <w:marBottom w:val="0"/>
      <w:divBdr>
        <w:top w:val="none" w:sz="0" w:space="0" w:color="auto"/>
        <w:left w:val="none" w:sz="0" w:space="0" w:color="auto"/>
        <w:bottom w:val="none" w:sz="0" w:space="0" w:color="auto"/>
        <w:right w:val="none" w:sz="0" w:space="0" w:color="auto"/>
      </w:divBdr>
    </w:div>
    <w:div w:id="175270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Jamye Bruyere</cp:lastModifiedBy>
  <cp:revision>2</cp:revision>
  <dcterms:created xsi:type="dcterms:W3CDTF">2023-10-06T14:06:00Z</dcterms:created>
  <dcterms:modified xsi:type="dcterms:W3CDTF">2023-10-06T14:06:00Z</dcterms:modified>
</cp:coreProperties>
</file>